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397</w:t>
      </w:r>
    </w:p>
    <w:p>
      <w:r>
        <w:t>Bundesgericht (BGE), 1985-08-05, DE</w:t>
      </w:r>
    </w:p>
    <w:p>
      <w:r>
        <w:rPr>
          <w:b/>
        </w:rPr>
        <w:t xml:space="preserve">Quelle: </w:t>
      </w:r>
      <w:r>
        <w:t>https://mcp.opencaselaw.ch/entscheid/bge_111 II 397</w:t>
      </w:r>
    </w:p>
    <w:p>
      <w:r>
        <w:t>FR: ATF 111 II 397</w:t>
      </w:r>
    </w:p>
    <w:p>
      <w:r>
        <w:t>IT: DTF 111 II 397</w:t>
      </w:r>
    </w:p>
    <w:p>
      <w:pPr>
        <w:pStyle w:val="Heading2"/>
      </w:pPr>
      <w:r>
        <w:t>Regeste</w:t>
      </w:r>
    </w:p>
    <w:p>
      <w:r>
        <w:t>Regeste Art. 55 Abs. 1 lit. c OG, Begründung einer Berufung. Beruht der kantonale Entscheid auf mehreren selbständigen Begründungen, so muss der Berufungskläger, soll die Berufung zulässig sein, jede einzelne Begründung als bundesrechtswidrig anfechten.</w:t>
      </w:r>
    </w:p>
    <w:p>
      <w:pPr>
        <w:pStyle w:val="Heading2"/>
      </w:pPr>
      <w:r>
        <w:t>Erwägungen</w:t>
      </w:r>
    </w:p>
    <w:p>
      <w:r>
        <w:rPr>
          <w:b/>
        </w:rPr>
        <w:t>E. 2</w:t>
      </w:r>
    </w:p>
    <w:p>
      <w:r>
        <w:t>b) Die Rüge der Verletzung von Art. 8 ZGB - wie übrigens auch von Art. 28 Abs. 1 OR - betrifft die Frage, ob die Klägerin getäuscht worden sei. Die Vorinstanz äusserte sich dazu ausführlich und gelangte zum Schluss, die Klägerin könne sich nicht auf Täuschung berufen, weil sie sich den Beweis dazu "verbaut" habe. Daran anschliessend erklärte sie, bei diesem Ausgang stelle sich die Frage nach der Genehmigung des Vertrages nicht mehr; trotzdem ging sie darauf ein und bejahte die Genehmigung mit der Begründung, die Klägerin habe, obwohl objektiverweise dazu kein Anlass bestanden habe, das Pferd schlachten lassen und damit über den Kaufgegenstand verfügt. Darin liegt eine auf Art. 31 OR abgestützte, subsidiäre, aber selbständige Erwägung des Urteils. Beruht ein Entscheid auf mehreren selbständigen Begründungen, so muss der Berufungskläger, will er die in Art. 55 Abs. 1 lit. c OG umschriebenen Anforderungen an eine Berufung erfüllen, BGE 111 II 397 S. 398 alle Begründungen anfechten (analog für die staatsrechtliche Beschwerde: BGE 107 Ib 268 E. b mit Hinweisen). Die Klägerin rügt die Annahme des Obergerichts, der Vertrag sei genehmigt worden, nicht als bundesrechtswidrig. Damit bleibt ein entscheidender Grund für die Abweisung von Appellation und Klage unangefochten. Soweit die Klägerin daher eine Verletzung von Art. 8 ZGB behauptet, ist auf die Berufung wegen ungenügender Begründung nicht einzutreten (siehe auch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